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94C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highlight w:val="none"/>
          <w:lang w:val="ru-RU"/>
        </w:rPr>
        <w:t>Основные свойства и методы объекта Document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3100"/>
        <w:gridCol w:w="5098"/>
      </w:tblGrid>
      <w:tr w14:paraId="79DB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56" w:type="dxa"/>
          </w:tcPr>
          <w:p w14:paraId="17E679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3100" w:type="dxa"/>
          </w:tcPr>
          <w:p w14:paraId="4E650B6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</w:t>
            </w:r>
          </w:p>
        </w:tc>
        <w:tc>
          <w:tcPr>
            <w:tcW w:w="5098" w:type="dxa"/>
          </w:tcPr>
          <w:p w14:paraId="1DD55D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14:paraId="3B897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56" w:type="dxa"/>
            <w:vMerge w:val="restart"/>
          </w:tcPr>
          <w:p w14:paraId="43B4E4F7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yellow"/>
                <w:lang w:val="en-US"/>
              </w:rPr>
              <w:t>s</w:t>
            </w:r>
          </w:p>
          <w:p w14:paraId="0B8E83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11C89172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cells</w:t>
            </w:r>
          </w:p>
        </w:tc>
        <w:tc>
          <w:tcPr>
            <w:tcW w:w="5098" w:type="dxa"/>
          </w:tcPr>
          <w:p w14:paraId="74EEE4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экземпляров Cell, соответствующих ячейкам в этом столбце</w:t>
            </w:r>
          </w:p>
        </w:tc>
      </w:tr>
      <w:tr w14:paraId="4E19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56" w:type="dxa"/>
            <w:vMerge w:val="continue"/>
          </w:tcPr>
          <w:p w14:paraId="5382249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4C151630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table</w:t>
            </w:r>
          </w:p>
        </w:tc>
        <w:tc>
          <w:tcPr>
            <w:tcW w:w="5098" w:type="dxa"/>
          </w:tcPr>
          <w:p w14:paraId="62E3C29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объект таблицы Table, которому принадлежит этот столбец</w:t>
            </w:r>
          </w:p>
        </w:tc>
      </w:tr>
      <w:tr w14:paraId="0163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656" w:type="dxa"/>
            <w:vMerge w:val="restart"/>
          </w:tcPr>
          <w:p w14:paraId="795D721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Cell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yellow"/>
                <w:lang w:val="en-US"/>
              </w:rPr>
              <w:t>s</w:t>
            </w:r>
          </w:p>
        </w:tc>
        <w:tc>
          <w:tcPr>
            <w:tcW w:w="3100" w:type="dxa"/>
          </w:tcPr>
          <w:p w14:paraId="0A347679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Cell.add_paragraph()</w:t>
            </w:r>
          </w:p>
        </w:tc>
        <w:tc>
          <w:tcPr>
            <w:tcW w:w="5098" w:type="dxa"/>
          </w:tcPr>
          <w:p w14:paraId="67FBFA4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добавляет абзац в ячейку</w:t>
            </w:r>
          </w:p>
        </w:tc>
      </w:tr>
      <w:tr w14:paraId="0BD6D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vMerge w:val="continue"/>
          </w:tcPr>
          <w:p w14:paraId="1EC45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5111A7A9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Cell.add_table()</w:t>
            </w:r>
          </w:p>
        </w:tc>
        <w:tc>
          <w:tcPr>
            <w:tcW w:w="5098" w:type="dxa"/>
          </w:tcPr>
          <w:p w14:paraId="0576AC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добавляет таблицу в ячейку</w:t>
            </w:r>
          </w:p>
        </w:tc>
      </w:tr>
      <w:tr w14:paraId="269D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656" w:type="dxa"/>
            <w:vMerge w:val="continue"/>
          </w:tcPr>
          <w:p w14:paraId="4311896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3684CCEB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Cell.merge()</w:t>
            </w:r>
          </w:p>
        </w:tc>
        <w:tc>
          <w:tcPr>
            <w:tcW w:w="5098" w:type="dxa"/>
          </w:tcPr>
          <w:p w14:paraId="657247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объединяет ячейки в одну</w:t>
            </w:r>
          </w:p>
        </w:tc>
      </w:tr>
      <w:tr w14:paraId="7AE2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56" w:type="dxa"/>
            <w:vMerge w:val="continue"/>
          </w:tcPr>
          <w:p w14:paraId="036145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115734A0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Cell.paragraphs</w:t>
            </w:r>
          </w:p>
        </w:tc>
        <w:tc>
          <w:tcPr>
            <w:tcW w:w="5098" w:type="dxa"/>
          </w:tcPr>
          <w:p w14:paraId="00910C5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объектов абзацев в ячейке</w:t>
            </w:r>
          </w:p>
        </w:tc>
      </w:tr>
      <w:tr w14:paraId="3BC61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656" w:type="dxa"/>
            <w:vMerge w:val="continue"/>
          </w:tcPr>
          <w:p w14:paraId="3A977B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4D19CDD6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Cell.tables</w:t>
            </w:r>
          </w:p>
        </w:tc>
        <w:tc>
          <w:tcPr>
            <w:tcW w:w="5098" w:type="dxa"/>
          </w:tcPr>
          <w:p w14:paraId="23AC16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таблиц в ячейке</w:t>
            </w:r>
          </w:p>
        </w:tc>
      </w:tr>
      <w:tr w14:paraId="3FDD7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656" w:type="dxa"/>
            <w:vMerge w:val="continue"/>
          </w:tcPr>
          <w:p w14:paraId="6AD4EE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413B6E39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Cell.text</w:t>
            </w:r>
          </w:p>
        </w:tc>
        <w:tc>
          <w:tcPr>
            <w:tcW w:w="5098" w:type="dxa"/>
          </w:tcPr>
          <w:p w14:paraId="0471649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содержимое ячейки в виде строки текста</w:t>
            </w:r>
          </w:p>
        </w:tc>
      </w:tr>
      <w:tr w14:paraId="3FBD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656" w:type="dxa"/>
            <w:vMerge w:val="continue"/>
          </w:tcPr>
          <w:p w14:paraId="23AC56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497B8F4B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Cell.width</w:t>
            </w:r>
          </w:p>
        </w:tc>
        <w:tc>
          <w:tcPr>
            <w:tcW w:w="5098" w:type="dxa"/>
          </w:tcPr>
          <w:p w14:paraId="4EBA3C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 ячейки</w:t>
            </w:r>
          </w:p>
        </w:tc>
      </w:tr>
      <w:tr w14:paraId="1099B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656" w:type="dxa"/>
            <w:vMerge w:val="restart"/>
          </w:tcPr>
          <w:p w14:paraId="7B164C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Font</w:t>
            </w:r>
          </w:p>
          <w:p w14:paraId="4C095A1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408FDCEA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Font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all</w:t>
            </w:r>
            <w:r>
              <w:rPr>
                <w:rFonts w:ascii="Courier New" w:hAnsi="Courier New" w:cs="Courier New"/>
                <w:sz w:val="24"/>
                <w:szCs w:val="24"/>
              </w:rPr>
              <w:t>_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caps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</w:tcPr>
          <w:p w14:paraId="25F126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переводится в верхний регистр</w:t>
            </w:r>
          </w:p>
        </w:tc>
      </w:tr>
      <w:tr w14:paraId="61DE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656" w:type="dxa"/>
            <w:vMerge w:val="continue"/>
          </w:tcPr>
          <w:p w14:paraId="1C0992A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7ACF77E7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Font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bold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</w:tcPr>
          <w:p w14:paraId="486873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выделяется жирным</w:t>
            </w:r>
          </w:p>
        </w:tc>
      </w:tr>
      <w:tr w14:paraId="39D81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1656" w:type="dxa"/>
            <w:vMerge w:val="continue"/>
          </w:tcPr>
          <w:p w14:paraId="303E2C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6220DE79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Font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color</w:t>
            </w:r>
          </w:p>
        </w:tc>
        <w:tc>
          <w:tcPr>
            <w:tcW w:w="5098" w:type="dxa"/>
          </w:tcPr>
          <w:p w14:paraId="0B6F2F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символов текста</w:t>
            </w:r>
          </w:p>
        </w:tc>
      </w:tr>
      <w:tr w14:paraId="0D00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56" w:type="dxa"/>
            <w:vMerge w:val="continue"/>
          </w:tcPr>
          <w:p w14:paraId="3C749A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6DE571BC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Font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italic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</w:tcPr>
          <w:p w14:paraId="2850A3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выделяется курсивом</w:t>
            </w:r>
          </w:p>
        </w:tc>
      </w:tr>
      <w:tr w14:paraId="2978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656" w:type="dxa"/>
            <w:vMerge w:val="continue"/>
          </w:tcPr>
          <w:p w14:paraId="44AD49B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35C85010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Font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name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</w:tcPr>
          <w:p w14:paraId="451AF6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шрифта, например '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Arial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</w:tr>
      <w:tr w14:paraId="5213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656" w:type="dxa"/>
            <w:vMerge w:val="continue"/>
          </w:tcPr>
          <w:p w14:paraId="74D3CF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4E5FE5D3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Font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size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</w:tcPr>
          <w:p w14:paraId="744BE23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шрифта</w:t>
            </w:r>
          </w:p>
        </w:tc>
      </w:tr>
      <w:tr w14:paraId="65F5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56" w:type="dxa"/>
            <w:vMerge w:val="continue"/>
          </w:tcPr>
          <w:p w14:paraId="0C2F71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2B893A95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i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Font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strike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</w:tcPr>
          <w:p w14:paraId="555D94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выглядит зачеркнутым</w:t>
            </w:r>
          </w:p>
        </w:tc>
      </w:tr>
      <w:tr w14:paraId="34D47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656" w:type="dxa"/>
            <w:vMerge w:val="continue"/>
          </w:tcPr>
          <w:p w14:paraId="2750CC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</w:tcPr>
          <w:p w14:paraId="65278E90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Font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underline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</w:tcPr>
          <w:p w14:paraId="7178BD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выглядит подчеркнутым</w:t>
            </w:r>
          </w:p>
        </w:tc>
      </w:tr>
      <w:tr w14:paraId="1D51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restart"/>
          </w:tcPr>
          <w:p w14:paraId="5E3ADBC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Paragraphs</w:t>
            </w:r>
          </w:p>
          <w:p w14:paraId="00E0199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62644EF5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i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Paragraph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add</w:t>
            </w:r>
            <w:r>
              <w:rPr>
                <w:rFonts w:ascii="Courier New" w:hAnsi="Courier New" w:cs="Courier New"/>
                <w:sz w:val="24"/>
                <w:szCs w:val="24"/>
              </w:rPr>
              <w:t>_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run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() </w:t>
            </w:r>
          </w:p>
        </w:tc>
        <w:tc>
          <w:tcPr>
            <w:tcW w:w="5098" w:type="dxa"/>
            <w:vAlign w:val="top"/>
          </w:tcPr>
          <w:p w14:paraId="465EDA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добавляет прогон текста в конец абзаца</w:t>
            </w:r>
          </w:p>
        </w:tc>
      </w:tr>
      <w:tr w14:paraId="523B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242E39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75E0DEB6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Paragraph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alignment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  <w:vAlign w:val="top"/>
          </w:tcPr>
          <w:p w14:paraId="2C10458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выравнивание текста в абзаце</w:t>
            </w:r>
          </w:p>
        </w:tc>
      </w:tr>
      <w:tr w14:paraId="7950A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589D72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668251FD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Paragraph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clear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() </w:t>
            </w:r>
          </w:p>
        </w:tc>
        <w:tc>
          <w:tcPr>
            <w:tcW w:w="5098" w:type="dxa"/>
            <w:vAlign w:val="top"/>
          </w:tcPr>
          <w:p w14:paraId="0FCDB9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очищает содержимое абзаца</w:t>
            </w:r>
          </w:p>
        </w:tc>
      </w:tr>
      <w:tr w14:paraId="0450A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489466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1C10F839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Paragraph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style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  <w:vAlign w:val="top"/>
          </w:tcPr>
          <w:p w14:paraId="0178710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стиль, присвоенный абзацу</w:t>
            </w:r>
          </w:p>
        </w:tc>
      </w:tr>
      <w:tr w14:paraId="7ACD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4F19F1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6A6F0F8F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Paragraph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text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  <w:vAlign w:val="top"/>
          </w:tcPr>
          <w:p w14:paraId="68FF2FC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 абзаца</w:t>
            </w:r>
          </w:p>
        </w:tc>
      </w:tr>
      <w:tr w14:paraId="703FF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3F754F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4296EB8A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i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Paragraph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add</w:t>
            </w:r>
            <w:r>
              <w:rPr>
                <w:rFonts w:ascii="Courier New" w:hAnsi="Courier New" w:cs="Courier New"/>
                <w:sz w:val="24"/>
                <w:szCs w:val="24"/>
              </w:rPr>
              <w:t>_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run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() </w:t>
            </w:r>
          </w:p>
        </w:tc>
        <w:tc>
          <w:tcPr>
            <w:tcW w:w="5098" w:type="dxa"/>
            <w:vAlign w:val="top"/>
          </w:tcPr>
          <w:p w14:paraId="4E80E12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добавляет прогон текста в конец абзаца</w:t>
            </w:r>
          </w:p>
        </w:tc>
      </w:tr>
      <w:tr w14:paraId="492C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restart"/>
          </w:tcPr>
          <w:p w14:paraId="622C15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Style</w:t>
            </w:r>
          </w:p>
          <w:p w14:paraId="5A3F39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33C914B9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i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Style.delete() </w:t>
            </w:r>
          </w:p>
        </w:tc>
        <w:tc>
          <w:tcPr>
            <w:tcW w:w="5098" w:type="dxa"/>
            <w:vAlign w:val="top"/>
          </w:tcPr>
          <w:p w14:paraId="2F17059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удаляет этот стиль из документа</w:t>
            </w:r>
          </w:p>
        </w:tc>
      </w:tr>
      <w:tr w14:paraId="00764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25A106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21CBB5EB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Style.name </w:t>
            </w:r>
          </w:p>
        </w:tc>
        <w:tc>
          <w:tcPr>
            <w:tcW w:w="5098" w:type="dxa"/>
            <w:vAlign w:val="top"/>
          </w:tcPr>
          <w:p w14:paraId="03A637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этого стиля в интерфейсе MS Word</w:t>
            </w:r>
          </w:p>
        </w:tc>
      </w:tr>
      <w:tr w14:paraId="5FFE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77583C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2275BFF2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Style.type </w:t>
            </w:r>
          </w:p>
        </w:tc>
        <w:tc>
          <w:tcPr>
            <w:tcW w:w="5098" w:type="dxa"/>
            <w:vAlign w:val="top"/>
          </w:tcPr>
          <w:p w14:paraId="61BB3A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этого стиля</w:t>
            </w:r>
          </w:p>
        </w:tc>
      </w:tr>
      <w:tr w14:paraId="25B8A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37867F0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536D0A03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Style.font </w:t>
            </w:r>
          </w:p>
        </w:tc>
        <w:tc>
          <w:tcPr>
            <w:tcW w:w="5098" w:type="dxa"/>
            <w:vAlign w:val="top"/>
          </w:tcPr>
          <w:p w14:paraId="44D99A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Font этого стиля</w:t>
            </w:r>
          </w:p>
        </w:tc>
      </w:tr>
      <w:tr w14:paraId="500BA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6" w:type="dxa"/>
            <w:vMerge w:val="continue"/>
          </w:tcPr>
          <w:p w14:paraId="596CC1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0" w:type="dxa"/>
            <w:vAlign w:val="top"/>
          </w:tcPr>
          <w:p w14:paraId="3742F6BD">
            <w:pPr>
              <w:widowControl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Style.next_paragraph_style </w:t>
            </w:r>
          </w:p>
        </w:tc>
        <w:tc>
          <w:tcPr>
            <w:tcW w:w="5098" w:type="dxa"/>
            <w:vAlign w:val="top"/>
          </w:tcPr>
          <w:p w14:paraId="64BA09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стиль, применяется к новому абзацу</w:t>
            </w:r>
          </w:p>
        </w:tc>
      </w:tr>
    </w:tbl>
    <w:p w14:paraId="28E4863B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64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2024-06-13T08:03:34Z</dcterms:created>
  <dc:creator>zaw-n</dc:creator>
  <cp:lastModifiedBy>Надежда Заводчи�</cp:lastModifiedBy>
  <dcterms:modified xsi:type="dcterms:W3CDTF">2024-06-13T08:03:43Z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AB5D5F9B5829478B8BF17BCDD6A05453_12</vt:lpwstr>
  </property>
</Properties>
</file>